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5"/>
        <w:ind w:right="5385"/>
        <w:jc w:val="both"/>
        <w:spacing w:before="0" w:after="0" w:line="240" w:lineRule="auto"/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pPr>
      <w:r/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</w:p>
    <w:p>
      <w:pPr>
        <w:pStyle w:val="655"/>
        <w:ind w:right="5385"/>
        <w:jc w:val="both"/>
        <w:spacing w:before="0" w:after="0" w:line="240" w:lineRule="auto"/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pPr>
      <w:r/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</w:p>
    <w:p>
      <w:pPr>
        <w:pStyle w:val="655"/>
        <w:ind w:right="5385"/>
        <w:jc w:val="both"/>
        <w:spacing w:before="0" w:after="0" w:line="240" w:lineRule="auto"/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pPr>
      <w:r/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</w:p>
    <w:p>
      <w:pPr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pStyle w:val="655"/>
        <w:ind w:right="5385"/>
        <w:jc w:val="both"/>
        <w:spacing w:before="0"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36"/>
          <w:szCs w:val="36"/>
        </w:rPr>
      </w:r>
    </w:p>
    <w:p>
      <w:pPr>
        <w:pStyle w:val="655"/>
        <w:ind w:right="5385"/>
        <w:jc w:val="both"/>
        <w:spacing w:before="0" w:after="0" w:line="240" w:lineRule="auto"/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pPr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  <w:t xml:space="preserve">О предоставлении в 2025 году грантов в форме субсидий «Поддержка программ развития передовых инженерных школ» федеральному государственному бюджетному образовательному учреждению высшего о</w:t>
      </w:r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  <w:t xml:space="preserve">бразования «Казанский национальный исследовательский технический университет им.А.Н.Туполева – КАИ» и государственному автономному образовательному учреждению высшего образования «Альметьевский государственный технологический университет «Высшая школа нефти»</w:t>
      </w:r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</w:p>
    <w:p>
      <w:pPr>
        <w:pStyle w:val="655"/>
        <w:ind w:right="5385"/>
        <w:jc w:val="both"/>
        <w:spacing w:before="0" w:after="0" w:line="240" w:lineRule="auto"/>
        <w:tabs>
          <w:tab w:val="clear" w:pos="709" w:leader="none"/>
          <w:tab w:val="left" w:pos="5103" w:leader="none"/>
          <w:tab w:val="left" w:pos="5245" w:leader="none"/>
        </w:tabs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pPr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  <w:r>
        <w:rPr>
          <w:rFonts w:ascii="Times New Roman;Times New Roman" w:hAnsi="Times New Roman;Times New Roman" w:eastAsia="Times New Roman;Times New Roman"/>
          <w:sz w:val="28"/>
          <w:szCs w:val="28"/>
          <w:lang w:eastAsia="ru-RU"/>
        </w:rPr>
      </w:r>
    </w:p>
    <w:p>
      <w:pPr>
        <w:pStyle w:val="655"/>
        <w:ind w:firstLine="709"/>
        <w:jc w:val="center"/>
        <w:spacing w:before="0" w:after="0" w:line="240" w:lineRule="auto"/>
        <w:widowControl w:val="off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</w:r>
      <w:r>
        <w:rPr>
          <w:rFonts w:ascii="Times New Roman;Times New Roman" w:hAnsi="Times New Roman;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widowControl w:val="off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  <w:t xml:space="preserve">В соответствии с Указом Раиса Республики Татарстан от </w:t>
      </w:r>
      <w:r>
        <w:rPr>
          <w:rFonts w:ascii="Times New Roman;Times New Roman" w:hAnsi="Times New Roman;Times New Roman"/>
          <w:sz w:val="28"/>
          <w:szCs w:val="28"/>
        </w:rPr>
        <w:t xml:space="preserve">6 июня 2025 года           </w:t>
      </w:r>
      <w:r>
        <w:rPr>
          <w:rFonts w:ascii="Times New Roman;Times New Roman" w:hAnsi="Times New Roman;Times New Roman"/>
          <w:sz w:val="28"/>
          <w:szCs w:val="28"/>
        </w:rPr>
        <w:t xml:space="preserve">№ </w:t>
      </w:r>
      <w:r>
        <w:rPr>
          <w:rFonts w:ascii="Times New Roman;Times New Roman" w:hAnsi="Times New Roman;Times New Roman"/>
          <w:sz w:val="28"/>
          <w:szCs w:val="28"/>
        </w:rPr>
        <w:t xml:space="preserve">452</w:t>
      </w:r>
      <w:r>
        <w:rPr>
          <w:rFonts w:ascii="Times New Roman;Times New Roman" w:hAnsi="Times New Roman;Times New Roman"/>
          <w:sz w:val="28"/>
          <w:szCs w:val="28"/>
        </w:rPr>
        <w:t xml:space="preserve"> «Об учреждении на 2025 год гранта «Поддержка программ развития передовых инженерных школ» </w:t>
      </w:r>
      <w:r>
        <w:rPr>
          <w:rFonts w:ascii="Times New Roman;Times New Roman" w:hAnsi="Times New Roman;Times New Roman"/>
          <w:sz w:val="28"/>
          <w:szCs w:val="28"/>
        </w:rPr>
        <w:t xml:space="preserve">Кабинет Министров Республики Татарстан ПОСТАНОВЛЯЕТ:</w:t>
      </w:r>
      <w:r>
        <w:rPr>
          <w:rFonts w:ascii="Times New Roman;Times New Roman" w:hAnsi="Times New Roman;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widowControl w:val="off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</w:r>
      <w:r>
        <w:rPr>
          <w:rFonts w:ascii="Times New Roman;Times New Roman" w:hAnsi="Times New Roman;Times New Roman"/>
          <w:sz w:val="28"/>
          <w:szCs w:val="28"/>
        </w:rPr>
      </w:r>
    </w:p>
    <w:p>
      <w:pPr>
        <w:pStyle w:val="655"/>
        <w:ind w:firstLine="709"/>
        <w:jc w:val="both"/>
        <w:spacing w:before="0" w:after="0" w:line="240" w:lineRule="auto"/>
        <w:widowControl w:val="off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  <w:t xml:space="preserve">1. Утвердить прилагаемый Порядок предоставления в 2025 году грантов в форме субсидий «Поддержка программ развития передовых инженерных школ» федеральному государственному бюджетному образовательному учреждению высшего об</w:t>
      </w:r>
      <w:r>
        <w:rPr>
          <w:rFonts w:ascii="Times New Roman;Times New Roman" w:hAnsi="Times New Roman;Times New Roman"/>
          <w:sz w:val="28"/>
          <w:szCs w:val="28"/>
        </w:rPr>
        <w:t xml:space="preserve">разования «Казанский национальный исследовательский технический университет им.А.Н.Туполева – КАИ» и государственному автономному образовательному учреждению высшего образования Альметьевский государственный технологический университет «Высшая школа нефти».</w:t>
      </w:r>
      <w:r>
        <w:rPr>
          <w:rFonts w:ascii="Times New Roman;Times New Roman" w:hAnsi="Times New Roman;Times New Roman"/>
          <w:sz w:val="28"/>
          <w:szCs w:val="28"/>
        </w:rPr>
      </w:r>
    </w:p>
    <w:p>
      <w:pPr>
        <w:pStyle w:val="655"/>
        <w:ind w:firstLine="680"/>
        <w:jc w:val="both"/>
        <w:spacing w:before="0" w:after="0" w:line="240" w:lineRule="auto"/>
        <w:widowControl w:val="off"/>
        <w:rPr>
          <w:rFonts w:ascii="Times New Roman;Times New Roman" w:hAnsi="Times New Roman;Times New Roman"/>
          <w:sz w:val="28"/>
          <w:szCs w:val="28"/>
        </w:rPr>
      </w:pPr>
      <w:r>
        <w:rPr>
          <w:rFonts w:ascii="Times New Roman;Times New Roman" w:hAnsi="Times New Roman;Times New Roman"/>
          <w:sz w:val="28"/>
          <w:szCs w:val="28"/>
        </w:rPr>
        <w:t xml:space="preserve">2. Контроль за исполнением настоящего постановления возложить на государственное научное бюджетное учреждение «Академия наук Республики Татарстан».</w:t>
      </w:r>
      <w:r>
        <w:rPr>
          <w:rFonts w:ascii="Times New Roman;Times New Roman" w:hAnsi="Times New Roman;Times New Roman"/>
          <w:sz w:val="28"/>
          <w:szCs w:val="28"/>
        </w:rPr>
      </w:r>
    </w:p>
    <w:p>
      <w:pPr>
        <w:pStyle w:val="703"/>
        <w:rPr>
          <w:rFonts w:ascii="Times New Roman;Times New Roman" w:hAnsi="Times New Roman;Times New Roman" w:cs="Times New Roman;Times New Roman"/>
          <w:sz w:val="28"/>
          <w:szCs w:val="28"/>
        </w:rPr>
      </w:pPr>
      <w:r>
        <w:rPr>
          <w:rFonts w:ascii="Times New Roman;Times New Roman" w:hAnsi="Times New Roman;Times New Roman" w:cs="Times New Roman;Times New Roman"/>
          <w:sz w:val="28"/>
          <w:szCs w:val="28"/>
        </w:rPr>
      </w:r>
      <w:r>
        <w:rPr>
          <w:rFonts w:ascii="Times New Roman;Times New Roman" w:hAnsi="Times New Roman;Times New Roman" w:cs="Times New Roman;Times New Roman"/>
          <w:sz w:val="28"/>
          <w:szCs w:val="28"/>
        </w:rPr>
      </w:r>
    </w:p>
    <w:p>
      <w:pPr>
        <w:pStyle w:val="703"/>
        <w:rPr>
          <w:rFonts w:ascii="Times New Roman;Times New Roman" w:hAnsi="Times New Roman;Times New Roman" w:cs="Times New Roman;Times New Roman"/>
          <w:sz w:val="28"/>
          <w:szCs w:val="28"/>
        </w:rPr>
      </w:pPr>
      <w:r>
        <w:rPr>
          <w:rFonts w:ascii="Times New Roman;Times New Roman" w:hAnsi="Times New Roman;Times New Roman" w:cs="Times New Roman;Times New Roman"/>
          <w:sz w:val="28"/>
          <w:szCs w:val="28"/>
        </w:rPr>
      </w:r>
      <w:r>
        <w:rPr>
          <w:rFonts w:ascii="Times New Roman;Times New Roman" w:hAnsi="Times New Roman;Times New Roman" w:cs="Times New Roman;Times New Roman"/>
          <w:sz w:val="28"/>
          <w:szCs w:val="28"/>
        </w:rPr>
      </w:r>
    </w:p>
    <w:p>
      <w:pPr>
        <w:pStyle w:val="703"/>
        <w:rPr>
          <w:rFonts w:ascii="Times New Roman;Times New Roman" w:hAnsi="Times New Roman;Times New Roman" w:cs="Times New Roman;Times New Roman"/>
          <w:sz w:val="28"/>
          <w:szCs w:val="28"/>
        </w:rPr>
      </w:pPr>
      <w:r>
        <w:rPr>
          <w:rFonts w:ascii="Times New Roman;Times New Roman" w:hAnsi="Times New Roman;Times New Roman" w:cs="Times New Roman;Times New Roman"/>
          <w:sz w:val="28"/>
          <w:szCs w:val="28"/>
        </w:rPr>
        <w:t xml:space="preserve">Премьер-министр</w:t>
      </w:r>
      <w:r>
        <w:rPr>
          <w:rFonts w:ascii="Times New Roman;Times New Roman" w:hAnsi="Times New Roman;Times New Roman" w:cs="Times New Roman;Times New Roman"/>
          <w:sz w:val="28"/>
          <w:szCs w:val="28"/>
        </w:rPr>
      </w:r>
    </w:p>
    <w:p>
      <w:pPr>
        <w:pStyle w:val="703"/>
        <w:rPr>
          <w:sz w:val="28"/>
          <w:szCs w:val="28"/>
        </w:rPr>
      </w:pPr>
      <w:r>
        <w:rPr>
          <w:rFonts w:ascii="Times New Roman;Times New Roman" w:hAnsi="Times New Roman;Times New Roman" w:cs="Times New Roman;Times New Roman"/>
          <w:sz w:val="28"/>
          <w:szCs w:val="28"/>
        </w:rPr>
        <w:t xml:space="preserve">Республики Татарстан                                                                                    </w:t>
      </w:r>
      <w:bookmarkStart w:id="0" w:name="sub_100"/>
      <w:r>
        <w:rPr>
          <w:rFonts w:ascii="Times New Roman;Times New Roman" w:hAnsi="Times New Roman;Times New Roman" w:cs="Times New Roman;Times New Roman"/>
          <w:sz w:val="28"/>
          <w:szCs w:val="28"/>
        </w:rPr>
        <w:t xml:space="preserve">А.В.Песошин</w:t>
      </w:r>
      <w:bookmarkEnd w:id="0"/>
      <w:r/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567" w:bottom="1134" w:left="1134" w:header="709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;Courier New">
    <w:panose1 w:val="02070309020205020404"/>
  </w:font>
  <w:font w:name="Tahoma">
    <w:panose1 w:val="020B0604030504040204"/>
  </w:font>
  <w:font w:name="Times New Roman;Times New Roman">
    <w:panose1 w:val="02020603050405020304"/>
  </w:font>
  <w:font w:name="Calibri;Century Gothic">
    <w:panose1 w:val="02000603000000000000"/>
  </w:font>
  <w:font w:name="DejaVu Sans">
    <w:panose1 w:val="020B0603030804020204"/>
  </w:font>
  <w:font w:name="Cambria">
    <w:panose1 w:val="02040503050406030204"/>
  </w:font>
  <w:font w:name="Noto Sans Devanagari">
    <w:panose1 w:val="020B0502040504020204"/>
  </w:font>
  <w:font w:name="Arial">
    <w:panose1 w:val="020B0604020202020204"/>
  </w:font>
  <w:font w:name="PT Astra Serif">
    <w:panose1 w:val="020A0603040505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9"/>
      <w:jc w:val="center"/>
      <w:spacing w:before="0" w:after="200"/>
      <w:rPr>
        <w:rFonts w:ascii="Times New Roman;Times New Roman" w:hAnsi="Times New Roman;Times New Roman"/>
        <w:sz w:val="28"/>
        <w:szCs w:val="28"/>
      </w:rPr>
    </w:pPr>
    <w:r>
      <w:rPr>
        <w:rFonts w:ascii="Times New Roman;Times New Roman" w:hAnsi="Times New Roman;Times New Roman"/>
        <w:sz w:val="28"/>
        <w:szCs w:val="28"/>
      </w:rPr>
      <w:fldChar w:fldCharType="begin"/>
    </w:r>
    <w:r>
      <w:rPr>
        <w:rFonts w:ascii="Times New Roman;Times New Roman" w:hAnsi="Times New Roman;Times New Roman"/>
        <w:sz w:val="28"/>
        <w:szCs w:val="28"/>
      </w:rPr>
      <w:instrText xml:space="preserve"> PAGE </w:instrText>
    </w:r>
    <w:r>
      <w:rPr>
        <w:rFonts w:ascii="Times New Roman;Times New Roman" w:hAnsi="Times New Roman;Times New Roman"/>
        <w:sz w:val="28"/>
        <w:szCs w:val="28"/>
      </w:rPr>
      <w:fldChar w:fldCharType="separate"/>
    </w:r>
    <w:r>
      <w:rPr>
        <w:rFonts w:ascii="Times New Roman;Times New Roman" w:hAnsi="Times New Roman;Times New Roman"/>
        <w:sz w:val="28"/>
        <w:szCs w:val="28"/>
      </w:rPr>
      <w:t xml:space="preserve">0</w:t>
    </w:r>
    <w:r>
      <w:rPr>
        <w:rFonts w:ascii="Times New Roman;Times New Roman" w:hAnsi="Times New Roman;Times New Roman"/>
        <w:sz w:val="28"/>
        <w:szCs w:val="28"/>
      </w:rPr>
      <w:fldChar w:fldCharType="end"/>
    </w:r>
    <w:r>
      <w:rPr>
        <w:rFonts w:ascii="Times New Roman;Times New Roman" w:hAnsi="Times New Roman;Times New Roman"/>
        <w:sz w:val="28"/>
        <w:szCs w:val="2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9"/>
      <w:spacing w:before="0" w:after="2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9"/>
      <w:spacing w:before="0" w:after="2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65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pStyle w:val="65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DejaVu Sans" w:cs="Noto Sans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2">
    <w:name w:val="No List"/>
    <w:uiPriority w:val="99"/>
    <w:semiHidden/>
    <w:unhideWhenUsed/>
  </w:style>
  <w:style w:type="character" w:styleId="14">
    <w:name w:val="Heading 1 Char"/>
    <w:basedOn w:val="658"/>
    <w:link w:val="656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5"/>
    <w:next w:val="65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8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58"/>
    <w:link w:val="65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5"/>
    <w:next w:val="6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5"/>
    <w:next w:val="6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5"/>
    <w:next w:val="6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5"/>
    <w:next w:val="6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5"/>
    <w:next w:val="6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5"/>
    <w:next w:val="6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58"/>
    <w:link w:val="695"/>
    <w:uiPriority w:val="10"/>
    <w:rPr>
      <w:sz w:val="48"/>
      <w:szCs w:val="48"/>
    </w:rPr>
  </w:style>
  <w:style w:type="paragraph" w:styleId="36">
    <w:name w:val="Subtitle"/>
    <w:basedOn w:val="655"/>
    <w:next w:val="6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8"/>
    <w:link w:val="36"/>
    <w:uiPriority w:val="11"/>
    <w:rPr>
      <w:sz w:val="24"/>
      <w:szCs w:val="24"/>
    </w:rPr>
  </w:style>
  <w:style w:type="paragraph" w:styleId="38">
    <w:name w:val="Quote"/>
    <w:basedOn w:val="655"/>
    <w:next w:val="6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5"/>
    <w:next w:val="6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8"/>
    <w:link w:val="699"/>
    <w:uiPriority w:val="99"/>
  </w:style>
  <w:style w:type="character" w:styleId="45">
    <w:name w:val="Footer Char"/>
    <w:basedOn w:val="658"/>
    <w:link w:val="700"/>
    <w:uiPriority w:val="99"/>
  </w:style>
  <w:style w:type="character" w:styleId="47">
    <w:name w:val="Caption Char"/>
    <w:basedOn w:val="693"/>
    <w:link w:val="700"/>
    <w:uiPriority w:val="99"/>
  </w:style>
  <w:style w:type="table" w:styleId="48">
    <w:name w:val="Table Grid"/>
    <w:basedOn w:val="7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bfe4f4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2e6f5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9749a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196c2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fe4f4" w:themeFill="accent1" w:themeFillTint="34"/>
    </w:tblPr>
    <w:tblStylePr w:type="band1Horz">
      <w:tcPr>
        <w:shd w:val="clear" w:color="ffffff" w:themeColor="accent1" w:themeTint="75" w:fill="70c4e7" w:themeFill="accent1" w:themeFillTint="75"/>
      </w:tcPr>
    </w:tblStylePr>
    <w:tblStylePr w:type="band1Vert">
      <w:tcPr>
        <w:shd w:val="clear" w:color="ffffff" w:themeColor="accent1" w:themeTint="75" w:fill="70c4e7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2d7" w:themeFill="accent2" w:themeFillTint="32"/>
    </w:tblPr>
    <w:tblStylePr w:type="band1Horz">
      <w:tcPr>
        <w:shd w:val="clear" w:color="ffffff" w:themeColor="accent2" w:themeTint="75" w:fill="f4bca1" w:themeFill="accent2" w:themeFillTint="75"/>
      </w:tcPr>
    </w:tblStylePr>
    <w:tblStylePr w:type="band1Vert">
      <w:tcPr>
        <w:shd w:val="clear" w:color="ffffff" w:themeColor="accent2" w:themeTint="75" w:fill="f4bc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bff0c5" w:themeFill="accent3" w:themeFillTint="34"/>
    </w:tblPr>
    <w:tblStylePr w:type="band1Horz">
      <w:tcPr>
        <w:shd w:val="clear" w:color="ffffff" w:themeColor="accent3" w:themeTint="75" w:fill="72dd7e" w:themeFill="accent3" w:themeFillTint="75"/>
      </w:tcPr>
    </w:tblStylePr>
    <w:tblStylePr w:type="band1Vert">
      <w:tcPr>
        <w:shd w:val="clear" w:color="ffffff" w:themeColor="accent3" w:themeTint="75" w:fill="72dd7e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8edfb" w:themeFill="accent4" w:themeFillTint="34"/>
    </w:tblPr>
    <w:tblStylePr w:type="band1Horz">
      <w:tcPr>
        <w:shd w:val="clear" w:color="ffffff" w:themeColor="accent4" w:themeTint="75" w:fill="85d7f6" w:themeFill="accent4" w:themeFillTint="75"/>
      </w:tcPr>
    </w:tblStylePr>
    <w:tblStylePr w:type="band1Vert">
      <w:tcPr>
        <w:shd w:val="clear" w:color="ffffff" w:themeColor="accent4" w:themeTint="75" w:fill="85d7f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1ceed" w:themeFill="accent5" w:themeFillTint="34"/>
    </w:tblPr>
    <w:tblStylePr w:type="band1Horz">
      <w:tcPr>
        <w:shd w:val="clear" w:color="ffffff" w:themeColor="accent5" w:themeTint="75" w:fill="e08fd8" w:themeFill="accent5" w:themeFillTint="75"/>
      </w:tcPr>
    </w:tblStylePr>
    <w:tblStylePr w:type="band1Vert">
      <w:tcPr>
        <w:shd w:val="clear" w:color="ffffff" w:themeColor="accent5" w:themeTint="75" w:fill="e08fd8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1d0" w:themeFill="accent6" w:themeFillTint="34"/>
    </w:tblPr>
    <w:tblStylePr w:type="band1Horz">
      <w:tcPr>
        <w:shd w:val="clear" w:color="ffffff" w:themeColor="accent6" w:themeTint="75" w:fill="aae194" w:themeFill="accent6" w:themeFillTint="75"/>
      </w:tcPr>
    </w:tblStylePr>
    <w:tblStylePr w:type="band1Vert">
      <w:tcPr>
        <w:shd w:val="clear" w:color="ffffff" w:themeColor="accent6" w:themeTint="75" w:fill="aae194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b7ca4" w:themeColor="accent1" w:themeTint="80" w:themeShade="95"/>
      </w:rPr>
    </w:tblStylePr>
    <w:tblStylePr w:type="firstRow">
      <w:rPr>
        <w:b/>
        <w:color w:val="1b7ca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ca4" w:themeColor="accent1" w:themeTint="80" w:themeShade="95"/>
      </w:rPr>
    </w:tblStylePr>
    <w:tblStylePr w:type="lastRow">
      <w:rPr>
        <w:b/>
        <w:color w:val="1b7ca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0e3f14" w:themeColor="accent3" w:themeTint="FE" w:themeShade="95"/>
      </w:rPr>
    </w:tblStylePr>
    <w:tblStylePr w:type="firstRow">
      <w:rPr>
        <w:b/>
        <w:color w:val="0e3f14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e3f14" w:themeColor="accent3" w:themeTint="FE" w:themeShade="95"/>
      </w:rPr>
    </w:tblStylePr>
    <w:tblStylePr w:type="lastRow">
      <w:rPr>
        <w:b/>
        <w:color w:val="0e3f14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5c1955" w:themeColor="accent5" w:themeShade="95"/>
      </w:rPr>
    </w:tblStylePr>
    <w:tblStylePr w:type="firstRow">
      <w:rPr>
        <w:b/>
        <w:color w:val="5c195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c1955" w:themeColor="accent5" w:themeShade="95"/>
      </w:rPr>
    </w:tblStylePr>
    <w:tblStylePr w:type="lastRow">
      <w:rPr>
        <w:b/>
        <w:color w:val="5c195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b7ca4" w:themeColor="accent1" w:themeTint="80" w:themeShade="95"/>
        <w:sz w:val="22"/>
      </w:rPr>
      <w:tcPr>
        <w:shd w:val="clear" w:color="ffffff" w:themeColor="accent1" w:themeTint="34" w:fill="bfe4f4" w:themeFill="accent1" w:themeFillTint="34"/>
      </w:tcPr>
    </w:tblStylePr>
    <w:tblStylePr w:type="band1Vert">
      <w:tcPr>
        <w:shd w:val="clear" w:color="ffffff" w:themeColor="accent1" w:themeTint="34" w:fill="bfe4f4" w:themeFill="accent1" w:themeFillTint="34"/>
      </w:tcPr>
    </w:tblStylePr>
    <w:tblStylePr w:type="band2Horz">
      <w:rPr>
        <w:rFonts w:ascii="Arial" w:hAnsi="Arial"/>
        <w:color w:val="1b7ca4" w:themeColor="accent1" w:themeTint="80" w:themeShade="95"/>
        <w:sz w:val="22"/>
      </w:rPr>
    </w:tblStylePr>
    <w:tblStylePr w:type="firstCol">
      <w:rPr>
        <w:rFonts w:ascii="Arial" w:hAnsi="Arial"/>
        <w:i/>
        <w:color w:val="1b7ca4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ca4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ca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32" w:fill="fae2d7" w:themeFill="accent2" w:themeFillTint="32"/>
      </w:tcPr>
    </w:tblStylePr>
    <w:tblStylePr w:type="band1Vert">
      <w:tcPr>
        <w:shd w:val="clear" w:color="ffffff" w:themeColor="accent2" w:themeTint="32" w:fill="fae2d7" w:themeFill="accent2" w:themeFillTint="32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0e3f14" w:themeColor="accent3" w:themeTint="FE" w:themeShade="95"/>
        <w:sz w:val="22"/>
      </w:rPr>
      <w:tcPr>
        <w:shd w:val="clear" w:color="ffffff" w:themeColor="accent3" w:themeTint="34" w:fill="bff0c5" w:themeFill="accent3" w:themeFillTint="34"/>
      </w:tcPr>
    </w:tblStylePr>
    <w:tblStylePr w:type="band1Vert">
      <w:tcPr>
        <w:shd w:val="clear" w:color="ffffff" w:themeColor="accent3" w:themeTint="34" w:fill="bff0c5" w:themeFill="accent3" w:themeFillTint="34"/>
      </w:tcPr>
    </w:tblStylePr>
    <w:tblStylePr w:type="band2Horz">
      <w:rPr>
        <w:rFonts w:ascii="Arial" w:hAnsi="Arial"/>
        <w:color w:val="0e3f14" w:themeColor="accent3" w:themeTint="FE" w:themeShade="95"/>
        <w:sz w:val="22"/>
      </w:rPr>
    </w:tblStylePr>
    <w:tblStylePr w:type="firstCol">
      <w:rPr>
        <w:rFonts w:ascii="Arial" w:hAnsi="Arial"/>
        <w:i/>
        <w:color w:val="0e3f14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e3f14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e3f14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34" w:fill="c8edfb" w:themeFill="accent4" w:themeFillTint="34"/>
      </w:tcPr>
    </w:tblStylePr>
    <w:tblStylePr w:type="band1Vert">
      <w:tcPr>
        <w:shd w:val="clear" w:color="ffffff" w:themeColor="accent4" w:themeTint="34" w:fill="c8edfb" w:themeFill="accent4" w:themeFillTint="34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5c1955" w:themeColor="accent5" w:themeShade="95"/>
        <w:sz w:val="22"/>
      </w:rPr>
      <w:tcPr>
        <w:shd w:val="clear" w:color="ffffff" w:themeColor="accent5" w:themeTint="34" w:fill="f1ceed" w:themeFill="accent5" w:themeFillTint="34"/>
      </w:tcPr>
    </w:tblStylePr>
    <w:tblStylePr w:type="band1Vert">
      <w:tcPr>
        <w:shd w:val="clear" w:color="ffffff" w:themeColor="accent5" w:themeTint="34" w:fill="f1ceed" w:themeFill="accent5" w:themeFillTint="34"/>
      </w:tcPr>
    </w:tblStylePr>
    <w:tblStylePr w:type="band2Horz">
      <w:rPr>
        <w:rFonts w:ascii="Arial" w:hAnsi="Arial"/>
        <w:color w:val="5c1955" w:themeColor="accent5" w:themeShade="95"/>
        <w:sz w:val="22"/>
      </w:rPr>
    </w:tblStylePr>
    <w:tblStylePr w:type="firstCol">
      <w:rPr>
        <w:rFonts w:ascii="Arial" w:hAnsi="Arial"/>
        <w:i/>
        <w:color w:val="5c1955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c1955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195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2e611a" w:themeColor="accent6" w:themeShade="95"/>
        <w:sz w:val="22"/>
      </w:rPr>
      <w:tcPr>
        <w:shd w:val="clear" w:color="ffffff" w:themeColor="accent6" w:themeTint="34" w:fill="d9f1d0" w:themeFill="accent6" w:themeFillTint="34"/>
      </w:tcPr>
    </w:tblStylePr>
    <w:tblStylePr w:type="band1Vert">
      <w:tcPr>
        <w:shd w:val="clear" w:color="ffffff" w:themeColor="accent6" w:themeTint="34" w:fill="d9f1d0" w:themeFill="accent6" w:themeFillTint="34"/>
      </w:tcPr>
    </w:tblStylePr>
    <w:tblStylePr w:type="band2Horz">
      <w:rPr>
        <w:rFonts w:ascii="Arial" w:hAnsi="Arial"/>
        <w:color w:val="2e611a" w:themeColor="accent6" w:themeShade="95"/>
        <w:sz w:val="22"/>
      </w:rPr>
    </w:tblStylePr>
    <w:tblStylePr w:type="firstCol">
      <w:rPr>
        <w:rFonts w:ascii="Arial" w:hAnsi="Arial"/>
        <w:i/>
        <w:color w:val="2e611a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11a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11a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47d458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d76cc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90d873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1dff2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56082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ac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97132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b2edb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196b2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bde9fa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0f9ed5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eec1e9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a02b93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0eec5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4ea72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blStylePr w:type="band1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1a884" w:themeFill="accent2" w:themeFillTint="97"/>
    </w:tblPr>
    <w:tblStylePr w:type="band1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1a88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7d458" w:themeFill="accent3" w:themeFillTint="98"/>
    </w:tblPr>
    <w:tblStylePr w:type="band1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47d45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47d45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3" w:themeFill="accent4" w:themeFillTint="9A"/>
    </w:tblPr>
    <w:tblStylePr w:type="band1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60cbf3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76ccb" w:themeFill="accent5" w:themeFillTint="9A"/>
    </w:tblPr>
    <w:tblStylePr w:type="band1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d76cc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d76cc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90d873" w:themeFill="accent6" w:themeFillTint="98"/>
    </w:tblPr>
    <w:tblStylePr w:type="band1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90d8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90d8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c394b" w:themeColor="accent1" w:themeShade="95"/>
      </w:rPr>
    </w:tblStylePr>
    <w:tblStylePr w:type="firstRow">
      <w:rPr>
        <w:b/>
        <w:color w:val="0c394b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94b" w:themeColor="accent1" w:themeShade="95"/>
      </w:rPr>
    </w:tblStylePr>
    <w:tblStylePr w:type="lastRow">
      <w:rPr>
        <w:b/>
        <w:color w:val="0c394b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34f16" w:themeColor="accent2" w:themeTint="97" w:themeShade="95"/>
      </w:rPr>
    </w:tblStylePr>
    <w:tblStylePr w:type="firstRow">
      <w:rPr>
        <w:b/>
        <w:color w:val="c34f16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34f16" w:themeColor="accent2" w:themeTint="97" w:themeShade="95"/>
      </w:rPr>
    </w:tblStylePr>
    <w:tblStylePr w:type="lastRow">
      <w:rPr>
        <w:b/>
        <w:color w:val="c34f16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1f842b" w:themeColor="accent3" w:themeTint="98" w:themeShade="95"/>
      </w:rPr>
    </w:tblStylePr>
    <w:tblStylePr w:type="firstRow">
      <w:rPr>
        <w:b/>
        <w:color w:val="1f842b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f842b" w:themeColor="accent3" w:themeTint="98" w:themeShade="95"/>
      </w:rPr>
    </w:tblStylePr>
    <w:tblStylePr w:type="lastRow">
      <w:rPr>
        <w:b/>
        <w:color w:val="1f842b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0d8ab8" w:themeColor="accent4" w:themeTint="9A" w:themeShade="95"/>
      </w:rPr>
    </w:tblStylePr>
    <w:tblStylePr w:type="firstRow">
      <w:rPr>
        <w:b/>
        <w:color w:val="0d8ab8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8" w:themeColor="accent4" w:themeTint="9A" w:themeShade="95"/>
      </w:rPr>
    </w:tblStylePr>
    <w:tblStylePr w:type="lastRow">
      <w:rPr>
        <w:b/>
        <w:color w:val="0d8ab8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932888" w:themeColor="accent5" w:themeTint="9A" w:themeShade="95"/>
      </w:rPr>
    </w:tblStylePr>
    <w:tblStylePr w:type="firstRow">
      <w:rPr>
        <w:b/>
        <w:color w:val="932888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32888" w:themeColor="accent5" w:themeTint="9A" w:themeShade="95"/>
      </w:rPr>
    </w:tblStylePr>
    <w:tblStylePr w:type="lastRow">
      <w:rPr>
        <w:b/>
        <w:color w:val="932888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4b952a" w:themeColor="accent6" w:themeTint="98" w:themeShade="95"/>
      </w:rPr>
    </w:tblStylePr>
    <w:tblStylePr w:type="firstRow">
      <w:rPr>
        <w:b/>
        <w:color w:val="4b952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b952a" w:themeColor="accent6" w:themeTint="98" w:themeShade="95"/>
      </w:rPr>
    </w:tblStylePr>
    <w:tblStylePr w:type="lastRow">
      <w:rPr>
        <w:b/>
        <w:color w:val="4b952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c394b" w:themeColor="accent1" w:themeShade="95"/>
        <w:sz w:val="22"/>
      </w:rPr>
      <w:tcPr>
        <w:shd w:val="clear" w:color="ffffff" w:themeColor="accent1" w:themeTint="40" w:fill="b1dff2" w:themeFill="accent1" w:themeFillTint="40"/>
      </w:tcPr>
    </w:tblStylePr>
    <w:tblStylePr w:type="band1Vert">
      <w:tcPr>
        <w:shd w:val="clear" w:color="ffffff" w:themeColor="accent1" w:themeTint="40" w:fill="b1dff2" w:themeFill="accent1" w:themeFillTint="40"/>
      </w:tcPr>
    </w:tblStylePr>
    <w:tblStylePr w:type="band2Horz">
      <w:rPr>
        <w:rFonts w:ascii="Arial" w:hAnsi="Arial"/>
        <w:color w:val="0c394b" w:themeColor="accent1" w:themeShade="95"/>
        <w:sz w:val="22"/>
      </w:rPr>
    </w:tblStylePr>
    <w:tblStylePr w:type="firstCol">
      <w:rPr>
        <w:rFonts w:ascii="Arial" w:hAnsi="Arial"/>
        <w:i/>
        <w:color w:val="0c394b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94b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94b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c394b" w:themeColor="accent1" w:themeShade="95"/>
        <w:sz w:val="22"/>
      </w:rPr>
    </w:tblStylePr>
  </w:style>
  <w:style w:type="table" w:styleId="148">
    <w:name w:val="List Table 7 Colorful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34f16" w:themeColor="accent2" w:themeTint="97" w:themeShade="95"/>
        <w:sz w:val="22"/>
      </w:rPr>
      <w:tcPr>
        <w:shd w:val="clear" w:color="ffffff" w:themeColor="accent2" w:themeTint="40" w:fill="f9daca" w:themeFill="accent2" w:themeFillTint="40"/>
      </w:tcPr>
    </w:tblStylePr>
    <w:tblStylePr w:type="band1Vert">
      <w:tcPr>
        <w:shd w:val="clear" w:color="ffffff" w:themeColor="accent2" w:themeTint="40" w:fill="f9daca" w:themeFill="accent2" w:themeFillTint="40"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34f16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34f16" w:themeColor="accent2" w:themeTint="97" w:themeShade="95"/>
        <w:sz w:val="22"/>
      </w:rPr>
    </w:tblStylePr>
  </w:style>
  <w:style w:type="table" w:styleId="149">
    <w:name w:val="List Table 7 Colorful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1f842b" w:themeColor="accent3" w:themeTint="98" w:themeShade="95"/>
        <w:sz w:val="22"/>
      </w:rPr>
      <w:tcPr>
        <w:shd w:val="clear" w:color="ffffff" w:themeColor="accent3" w:themeTint="40" w:fill="b2edb9" w:themeFill="accent3" w:themeFillTint="40"/>
      </w:tcPr>
    </w:tblStylePr>
    <w:tblStylePr w:type="band1Vert">
      <w:tcPr>
        <w:shd w:val="clear" w:color="ffffff" w:themeColor="accent3" w:themeTint="40" w:fill="b2edb9" w:themeFill="accent3" w:themeFillTint="40"/>
      </w:tcPr>
    </w:tblStylePr>
    <w:tblStylePr w:type="band2Horz">
      <w:rPr>
        <w:rFonts w:ascii="Arial" w:hAnsi="Arial"/>
        <w:color w:val="1f842b" w:themeColor="accent3" w:themeTint="98" w:themeShade="95"/>
        <w:sz w:val="22"/>
      </w:rPr>
    </w:tblStylePr>
    <w:tblStylePr w:type="firstCol">
      <w:rPr>
        <w:rFonts w:ascii="Arial" w:hAnsi="Arial"/>
        <w:i/>
        <w:color w:val="1f842b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1f842b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1f842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1f842b" w:themeColor="accent3" w:themeTint="98" w:themeShade="95"/>
        <w:sz w:val="22"/>
      </w:rPr>
    </w:tblStylePr>
  </w:style>
  <w:style w:type="table" w:styleId="150">
    <w:name w:val="List Table 7 Colorful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0d8ab8" w:themeColor="accent4" w:themeTint="9A" w:themeShade="95"/>
        <w:sz w:val="22"/>
      </w:rPr>
      <w:tcPr>
        <w:shd w:val="clear" w:color="ffffff" w:themeColor="accent4" w:themeTint="40" w:fill="bde9fa" w:themeFill="accent4" w:themeFillTint="40"/>
      </w:tcPr>
    </w:tblStylePr>
    <w:tblStylePr w:type="band1Vert">
      <w:tcPr>
        <w:shd w:val="clear" w:color="ffffff" w:themeColor="accent4" w:themeTint="40" w:fill="bde9fa" w:themeFill="accent4" w:themeFillTint="40"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8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d8ab8" w:themeColor="accent4" w:themeTint="9A" w:themeShade="95"/>
        <w:sz w:val="22"/>
      </w:rPr>
    </w:tblStylePr>
  </w:style>
  <w:style w:type="table" w:styleId="151">
    <w:name w:val="List Table 7 Colorful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932888" w:themeColor="accent5" w:themeTint="9A" w:themeShade="95"/>
        <w:sz w:val="22"/>
      </w:rPr>
      <w:tcPr>
        <w:shd w:val="clear" w:color="ffffff" w:themeColor="accent5" w:themeTint="40" w:fill="eec1e9" w:themeFill="accent5" w:themeFillTint="40"/>
      </w:tcPr>
    </w:tblStylePr>
    <w:tblStylePr w:type="band1Vert">
      <w:tcPr>
        <w:shd w:val="clear" w:color="ffffff" w:themeColor="accent5" w:themeTint="40" w:fill="eec1e9" w:themeFill="accent5" w:themeFillTint="40"/>
      </w:tcPr>
    </w:tblStylePr>
    <w:tblStylePr w:type="band2Horz">
      <w:rPr>
        <w:rFonts w:ascii="Arial" w:hAnsi="Arial"/>
        <w:color w:val="932888" w:themeColor="accent5" w:themeTint="9A" w:themeShade="95"/>
        <w:sz w:val="22"/>
      </w:rPr>
    </w:tblStylePr>
    <w:tblStylePr w:type="firstCol">
      <w:rPr>
        <w:rFonts w:ascii="Arial" w:hAnsi="Arial"/>
        <w:i/>
        <w:color w:val="932888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32888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32888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32888" w:themeColor="accent5" w:themeTint="9A" w:themeShade="95"/>
        <w:sz w:val="22"/>
      </w:rPr>
    </w:tblStylePr>
  </w:style>
  <w:style w:type="table" w:styleId="152">
    <w:name w:val="List Table 7 Colorful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b952a" w:themeColor="accent6" w:themeTint="98" w:themeShade="95"/>
        <w:sz w:val="22"/>
      </w:rPr>
      <w:tcPr>
        <w:shd w:val="clear" w:color="ffffff" w:themeColor="accent6" w:themeTint="40" w:fill="d0eec5" w:themeFill="accent6" w:themeFillTint="40"/>
      </w:tcPr>
    </w:tblStylePr>
    <w:tblStylePr w:type="band1Vert">
      <w:tcPr>
        <w:shd w:val="clear" w:color="ffffff" w:themeColor="accent6" w:themeTint="40" w:fill="d0eec5" w:themeFill="accent6" w:themeFillTint="40"/>
      </w:tcPr>
    </w:tblStylePr>
    <w:tblStylePr w:type="band2Horz">
      <w:rPr>
        <w:rFonts w:ascii="Arial" w:hAnsi="Arial"/>
        <w:color w:val="4b952a" w:themeColor="accent6" w:themeTint="98" w:themeShade="95"/>
        <w:sz w:val="22"/>
      </w:rPr>
    </w:tblStylePr>
    <w:tblStylePr w:type="firstCol">
      <w:rPr>
        <w:rFonts w:ascii="Arial" w:hAnsi="Arial"/>
        <w:i/>
        <w:color w:val="4b952a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b952a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b952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b952a" w:themeColor="accent6" w:themeTint="98" w:themeShade="95"/>
        <w:sz w:val="22"/>
      </w:rPr>
    </w:tblStylePr>
  </w:style>
  <w:style w:type="table" w:styleId="153">
    <w:name w:val="Lined - Accent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55">
    <w:name w:val="Lined - Accent 2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56">
    <w:name w:val="Lined - Accent 3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57">
    <w:name w:val="Lined - Accent 4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58">
    <w:name w:val="Lined - Accent 5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59">
    <w:name w:val="Lined - Accent 6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0">
    <w:name w:val="Bordered &amp; Lined - Accent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9ed7e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9749a" w:themeFill="accent1" w:themeFillTint="EA"/>
      </w:tcPr>
    </w:tblStylePr>
  </w:style>
  <w:style w:type="table" w:styleId="162">
    <w:name w:val="Bordered &amp; Lined - Accent 2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2d7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1a884" w:themeFill="accent2" w:themeFillTint="97"/>
      </w:tcPr>
    </w:tblStylePr>
  </w:style>
  <w:style w:type="table" w:styleId="163">
    <w:name w:val="Bordered &amp; Lined - Accent 3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bff0c5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196c23" w:themeFill="accent3" w:themeFillTint="FE"/>
      </w:tcPr>
    </w:tblStylePr>
  </w:style>
  <w:style w:type="table" w:styleId="164">
    <w:name w:val="Bordered &amp; Lined - Accent 4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c8edf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60cbf3" w:themeFill="accent4" w:themeFillTint="9A"/>
      </w:tcPr>
    </w:tblStylePr>
  </w:style>
  <w:style w:type="table" w:styleId="165">
    <w:name w:val="Bordered &amp; Lined - Accent 5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1ceed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a02b93" w:themeFill="accent5"/>
      </w:tcPr>
    </w:tblStylePr>
  </w:style>
  <w:style w:type="table" w:styleId="166">
    <w:name w:val="Bordered &amp; Lined - Accent 6"/>
    <w:basedOn w:val="7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d9f1d0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4ea72e" w:themeFill="accent6"/>
      </w:tcPr>
    </w:tblStylePr>
  </w:style>
  <w:style w:type="table" w:styleId="167">
    <w:name w:val="Bordered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8"/>
    <w:uiPriority w:val="99"/>
    <w:unhideWhenUsed/>
    <w:rPr>
      <w:vertAlign w:val="superscript"/>
    </w:rPr>
  </w:style>
  <w:style w:type="paragraph" w:styleId="178">
    <w:name w:val="endnote text"/>
    <w:basedOn w:val="6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8"/>
    <w:uiPriority w:val="99"/>
    <w:semiHidden/>
    <w:unhideWhenUsed/>
    <w:rPr>
      <w:vertAlign w:val="superscript"/>
    </w:rPr>
  </w:style>
  <w:style w:type="paragraph" w:styleId="181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qFormat/>
    <w:pPr>
      <w:jc w:val="left"/>
      <w:spacing w:before="0" w:after="200" w:line="276" w:lineRule="auto"/>
      <w:widowControl/>
    </w:pPr>
    <w:rPr>
      <w:rFonts w:ascii="Calibri;Century Gothic" w:hAnsi="Calibri;Century Gothic" w:eastAsia="Calibri;Century Gothic" w:cs="Times New Roman;Times New Roman"/>
      <w:color w:val="auto"/>
      <w:sz w:val="22"/>
      <w:szCs w:val="22"/>
      <w:lang w:val="ru-RU" w:eastAsia="zh-CN" w:bidi="ar-SA"/>
    </w:rPr>
  </w:style>
  <w:style w:type="paragraph" w:styleId="656">
    <w:name w:val="Heading 1"/>
    <w:basedOn w:val="655"/>
    <w:next w:val="655"/>
    <w:uiPriority w:val="9"/>
    <w:qFormat/>
    <w:pPr>
      <w:numPr>
        <w:ilvl w:val="0"/>
        <w:numId w:val="1"/>
      </w:numPr>
      <w:keepLines/>
      <w:keepNext/>
      <w:spacing w:before="480" w:after="0"/>
      <w:outlineLvl w:val="0"/>
    </w:pPr>
    <w:rPr>
      <w:rFonts w:ascii="Cambria" w:hAnsi="Cambria" w:eastAsia="Times New Roman;Times New Roman" w:cs="Cambria"/>
      <w:b/>
      <w:bCs/>
      <w:color w:val="365f91"/>
      <w:sz w:val="28"/>
      <w:szCs w:val="28"/>
    </w:rPr>
  </w:style>
  <w:style w:type="paragraph" w:styleId="657">
    <w:name w:val="Heading 3"/>
    <w:basedOn w:val="655"/>
    <w:next w:val="691"/>
    <w:uiPriority w:val="9"/>
    <w:semiHidden/>
    <w:unhideWhenUsed/>
    <w:qFormat/>
    <w:pPr>
      <w:numPr>
        <w:ilvl w:val="2"/>
        <w:numId w:val="1"/>
      </w:numPr>
      <w:spacing w:before="150" w:after="300" w:line="240" w:lineRule="auto"/>
      <w:outlineLvl w:val="2"/>
    </w:pPr>
    <w:rPr>
      <w:rFonts w:ascii="Arial" w:hAnsi="Arial" w:eastAsia="Times New Roman;Times New Roman" w:cs="Arial"/>
      <w:color w:val="5185b4"/>
      <w:spacing w:val="-15"/>
      <w:sz w:val="27"/>
      <w:szCs w:val="27"/>
    </w:rPr>
  </w:style>
  <w:style w:type="character" w:styleId="658" w:default="1">
    <w:name w:val="Default Paragraph Font"/>
    <w:uiPriority w:val="1"/>
    <w:semiHidden/>
    <w:unhideWhenUsed/>
    <w:qFormat/>
  </w:style>
  <w:style w:type="character" w:styleId="659" w:customStyle="1">
    <w:name w:val="WW8Num1z0"/>
    <w:qFormat/>
  </w:style>
  <w:style w:type="character" w:styleId="660" w:customStyle="1">
    <w:name w:val="WW8Num2z0"/>
    <w:qFormat/>
  </w:style>
  <w:style w:type="character" w:styleId="661" w:customStyle="1">
    <w:name w:val="WW8Num3z0"/>
    <w:qFormat/>
  </w:style>
  <w:style w:type="character" w:styleId="662" w:customStyle="1">
    <w:name w:val="WW8Num4z0"/>
    <w:qFormat/>
  </w:style>
  <w:style w:type="character" w:styleId="663" w:customStyle="1">
    <w:name w:val="WW8Num5z0"/>
    <w:qFormat/>
  </w:style>
  <w:style w:type="character" w:styleId="664" w:customStyle="1">
    <w:name w:val="WW8Num6z0"/>
    <w:qFormat/>
  </w:style>
  <w:style w:type="character" w:styleId="665" w:customStyle="1">
    <w:name w:val="WW8Num7z0"/>
    <w:qFormat/>
  </w:style>
  <w:style w:type="character" w:styleId="666" w:customStyle="1">
    <w:name w:val="WW8Num8z0"/>
    <w:qFormat/>
  </w:style>
  <w:style w:type="character" w:styleId="667" w:customStyle="1">
    <w:name w:val="WW8Num9z0"/>
    <w:qFormat/>
  </w:style>
  <w:style w:type="character" w:styleId="668" w:customStyle="1">
    <w:name w:val="WW8Num10z0"/>
    <w:qFormat/>
  </w:style>
  <w:style w:type="character" w:styleId="669" w:customStyle="1">
    <w:name w:val="WW8Num12z0"/>
    <w:qFormat/>
  </w:style>
  <w:style w:type="character" w:styleId="670" w:customStyle="1">
    <w:name w:val="WW8Num13z0"/>
    <w:qFormat/>
  </w:style>
  <w:style w:type="character" w:styleId="671" w:customStyle="1">
    <w:name w:val="WW8Num14z0"/>
    <w:qFormat/>
  </w:style>
  <w:style w:type="character" w:styleId="672" w:customStyle="1">
    <w:name w:val="WW8Num16z0"/>
    <w:qFormat/>
  </w:style>
  <w:style w:type="character" w:styleId="673" w:customStyle="1">
    <w:name w:val="WW8Num20z0"/>
    <w:qFormat/>
  </w:style>
  <w:style w:type="character" w:styleId="674" w:customStyle="1">
    <w:name w:val="WW8Num21z0"/>
    <w:qFormat/>
  </w:style>
  <w:style w:type="character" w:styleId="675" w:customStyle="1">
    <w:name w:val="WW8Num22z0"/>
    <w:qFormat/>
    <w:rPr>
      <w:rFonts w:cs="Times New Roman;Times New Roman"/>
      <w:color w:val="ff0000"/>
    </w:rPr>
  </w:style>
  <w:style w:type="character" w:styleId="676" w:customStyle="1">
    <w:name w:val="WW8Num24z0"/>
    <w:qFormat/>
  </w:style>
  <w:style w:type="character" w:styleId="677" w:customStyle="1">
    <w:name w:val="WW8Num25z0"/>
    <w:qFormat/>
  </w:style>
  <w:style w:type="character" w:styleId="678" w:customStyle="1">
    <w:name w:val="Заголовок 3 Знак"/>
    <w:qFormat/>
    <w:rPr>
      <w:rFonts w:ascii="Arial" w:hAnsi="Arial" w:eastAsia="Times New Roman;Times New Roman" w:cs="Arial"/>
      <w:color w:val="5185b4"/>
      <w:spacing w:val="-15"/>
      <w:sz w:val="27"/>
      <w:szCs w:val="27"/>
    </w:rPr>
  </w:style>
  <w:style w:type="character" w:styleId="679" w:customStyle="1">
    <w:name w:val="Верхний колонтитул Знак"/>
    <w:qFormat/>
    <w:rPr>
      <w:sz w:val="22"/>
      <w:szCs w:val="22"/>
    </w:rPr>
  </w:style>
  <w:style w:type="character" w:styleId="680" w:customStyle="1">
    <w:name w:val="Нижний колонтитул Знак"/>
    <w:qFormat/>
    <w:rPr>
      <w:sz w:val="22"/>
      <w:szCs w:val="22"/>
    </w:rPr>
  </w:style>
  <w:style w:type="character" w:styleId="681" w:customStyle="1">
    <w:name w:val="Гипертекстовая ссылка"/>
    <w:qFormat/>
    <w:rPr>
      <w:color w:val="106bbe"/>
    </w:rPr>
  </w:style>
  <w:style w:type="character" w:styleId="682" w:customStyle="1">
    <w:name w:val="Заголовок 1 Знак"/>
    <w:qFormat/>
    <w:rPr>
      <w:rFonts w:ascii="Cambria" w:hAnsi="Cambria" w:eastAsia="Times New Roman;Times New Roman" w:cs="Times New Roman;Times New Roman"/>
      <w:b/>
      <w:bCs/>
      <w:color w:val="365f91"/>
      <w:sz w:val="28"/>
      <w:szCs w:val="28"/>
    </w:rPr>
  </w:style>
  <w:style w:type="character" w:styleId="683" w:customStyle="1">
    <w:name w:val="Цветовое выделение"/>
    <w:qFormat/>
    <w:rPr>
      <w:b/>
      <w:color w:val="26282f"/>
    </w:rPr>
  </w:style>
  <w:style w:type="character" w:styleId="684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685">
    <w:name w:val="annotation reference"/>
    <w:qFormat/>
    <w:rPr>
      <w:sz w:val="16"/>
      <w:szCs w:val="16"/>
    </w:rPr>
  </w:style>
  <w:style w:type="character" w:styleId="686" w:customStyle="1">
    <w:name w:val="Текст примечания Знак"/>
    <w:qFormat/>
  </w:style>
  <w:style w:type="character" w:styleId="687" w:customStyle="1">
    <w:name w:val="Тема примечания Знак"/>
    <w:qFormat/>
    <w:rPr>
      <w:b/>
      <w:bCs/>
    </w:rPr>
  </w:style>
  <w:style w:type="character" w:styleId="688">
    <w:name w:val="Placeholder Text"/>
    <w:qFormat/>
    <w:rPr>
      <w:color w:val="808080"/>
    </w:rPr>
  </w:style>
  <w:style w:type="character" w:styleId="689">
    <w:name w:val="Hyperlink"/>
    <w:rPr>
      <w:color w:val="0000ff"/>
      <w:u w:val="single"/>
    </w:rPr>
  </w:style>
  <w:style w:type="paragraph" w:styleId="690">
    <w:name w:val="Заголовок"/>
    <w:basedOn w:val="655"/>
    <w:next w:val="691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691">
    <w:name w:val="Body Text"/>
    <w:basedOn w:val="655"/>
    <w:pPr>
      <w:spacing w:before="0" w:after="140"/>
    </w:pPr>
  </w:style>
  <w:style w:type="paragraph" w:styleId="692">
    <w:name w:val="List"/>
    <w:basedOn w:val="691"/>
    <w:rPr>
      <w:rFonts w:ascii="PT Astra Serif" w:hAnsi="PT Astra Serif" w:cs="Noto Sans Devanagari"/>
    </w:rPr>
  </w:style>
  <w:style w:type="paragraph" w:styleId="693">
    <w:name w:val="Caption"/>
    <w:basedOn w:val="655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694">
    <w:name w:val="Указатель"/>
    <w:basedOn w:val="655"/>
    <w:qFormat/>
    <w:pPr>
      <w:suppressLineNumbers/>
    </w:pPr>
    <w:rPr>
      <w:rFonts w:ascii="PT Astra Serif" w:hAnsi="PT Astra Serif" w:cs="Noto Sans Devanagari"/>
    </w:rPr>
  </w:style>
  <w:style w:type="paragraph" w:styleId="695">
    <w:name w:val="Title"/>
    <w:basedOn w:val="655"/>
    <w:next w:val="691"/>
    <w:uiPriority w:val="10"/>
    <w:qFormat/>
    <w:pPr>
      <w:keepNext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696">
    <w:name w:val="index heading"/>
    <w:basedOn w:val="655"/>
    <w:qFormat/>
    <w:pPr>
      <w:suppressLineNumbers/>
    </w:pPr>
    <w:rPr>
      <w:rFonts w:ascii="PT Astra Serif" w:hAnsi="PT Astra Serif" w:cs="Noto Sans Devanagari"/>
    </w:rPr>
  </w:style>
  <w:style w:type="paragraph" w:styleId="697" w:customStyle="1">
    <w:name w:val="Колонтитул"/>
    <w:basedOn w:val="655"/>
    <w:qFormat/>
    <w:pPr>
      <w:tabs>
        <w:tab w:val="clear" w:pos="709" w:leader="none"/>
        <w:tab w:val="center" w:pos="4819" w:leader="none"/>
        <w:tab w:val="right" w:pos="9638" w:leader="none"/>
      </w:tabs>
      <w:suppressLineNumbers/>
    </w:pPr>
  </w:style>
  <w:style w:type="paragraph" w:styleId="698">
    <w:name w:val="Header and Footer"/>
    <w:basedOn w:val="655"/>
    <w:qFormat/>
  </w:style>
  <w:style w:type="paragraph" w:styleId="699">
    <w:name w:val="Header"/>
    <w:basedOn w:val="655"/>
  </w:style>
  <w:style w:type="paragraph" w:styleId="700">
    <w:name w:val="Footer"/>
    <w:basedOn w:val="655"/>
  </w:style>
  <w:style w:type="paragraph" w:styleId="701" w:customStyle="1">
    <w:name w:val="Прижатый влево"/>
    <w:basedOn w:val="655"/>
    <w:next w:val="655"/>
    <w:qFormat/>
    <w:pPr>
      <w:spacing w:before="0" w:after="0" w:line="240" w:lineRule="auto"/>
    </w:pPr>
    <w:rPr>
      <w:rFonts w:ascii="Arial" w:hAnsi="Arial" w:cs="Arial"/>
      <w:sz w:val="24"/>
      <w:szCs w:val="24"/>
    </w:rPr>
  </w:style>
  <w:style w:type="paragraph" w:styleId="702">
    <w:name w:val="List Paragraph"/>
    <w:basedOn w:val="655"/>
    <w:qFormat/>
    <w:pPr>
      <w:contextualSpacing/>
      <w:ind w:left="720"/>
      <w:spacing w:before="0" w:after="200"/>
    </w:pPr>
  </w:style>
  <w:style w:type="paragraph" w:styleId="703" w:customStyle="1">
    <w:name w:val="ConsPlusNormal"/>
    <w:qFormat/>
    <w:pPr>
      <w:jc w:val="left"/>
      <w:spacing w:before="0" w:after="0"/>
      <w:widowControl w:val="off"/>
    </w:pPr>
    <w:rPr>
      <w:rFonts w:ascii="Calibri;Century Gothic" w:hAnsi="Calibri;Century Gothic" w:eastAsia="Times New Roman;Times New Roman" w:cs="Calibri;Century Gothic"/>
      <w:color w:val="auto"/>
      <w:sz w:val="22"/>
      <w:szCs w:val="20"/>
      <w:lang w:val="ru-RU" w:eastAsia="zh-CN" w:bidi="ar-SA"/>
    </w:rPr>
  </w:style>
  <w:style w:type="paragraph" w:styleId="704" w:customStyle="1">
    <w:name w:val="Нормальный (таблица)"/>
    <w:basedOn w:val="655"/>
    <w:next w:val="655"/>
    <w:qFormat/>
    <w:pPr>
      <w:jc w:val="both"/>
      <w:spacing w:before="0" w:after="0" w:line="240" w:lineRule="auto"/>
      <w:widowControl w:val="off"/>
    </w:pPr>
    <w:rPr>
      <w:rFonts w:ascii="Arial" w:hAnsi="Arial" w:eastAsia="Times New Roman;Times New Roman" w:cs="Arial"/>
      <w:sz w:val="24"/>
      <w:szCs w:val="24"/>
    </w:rPr>
  </w:style>
  <w:style w:type="paragraph" w:styleId="705" w:customStyle="1">
    <w:name w:val="Таблицы (моноширинный)"/>
    <w:basedOn w:val="655"/>
    <w:next w:val="655"/>
    <w:qFormat/>
    <w:pPr>
      <w:spacing w:before="0" w:after="0" w:line="240" w:lineRule="auto"/>
      <w:widowControl w:val="off"/>
    </w:pPr>
    <w:rPr>
      <w:rFonts w:ascii="Courier New;Courier New" w:hAnsi="Courier New;Courier New" w:eastAsia="Times New Roman;Times New Roman" w:cs="Courier New;Courier New"/>
      <w:sz w:val="24"/>
      <w:szCs w:val="24"/>
    </w:rPr>
  </w:style>
  <w:style w:type="paragraph" w:styleId="706">
    <w:name w:val="Normal (Web)"/>
    <w:basedOn w:val="655"/>
    <w:qFormat/>
    <w:pPr>
      <w:spacing w:before="280" w:after="280" w:line="240" w:lineRule="auto"/>
    </w:pPr>
    <w:rPr>
      <w:rFonts w:ascii="Times New Roman;Times New Roman" w:hAnsi="Times New Roman;Times New Roman" w:eastAsia="Times New Roman;Times New Roman"/>
      <w:sz w:val="24"/>
      <w:szCs w:val="24"/>
    </w:rPr>
  </w:style>
  <w:style w:type="paragraph" w:styleId="707" w:customStyle="1">
    <w:name w:val="formattext"/>
    <w:basedOn w:val="655"/>
    <w:qFormat/>
    <w:pPr>
      <w:spacing w:before="280" w:after="280" w:line="240" w:lineRule="auto"/>
    </w:pPr>
    <w:rPr>
      <w:rFonts w:ascii="Times New Roman;Times New Roman" w:hAnsi="Times New Roman;Times New Roman" w:eastAsia="Times New Roman;Times New Roman"/>
      <w:sz w:val="24"/>
      <w:szCs w:val="24"/>
    </w:rPr>
  </w:style>
  <w:style w:type="paragraph" w:styleId="708" w:customStyle="1">
    <w:name w:val="ConsNormal"/>
    <w:qFormat/>
    <w:pPr>
      <w:ind w:firstLine="720"/>
      <w:jc w:val="left"/>
      <w:spacing w:before="0" w:after="0"/>
      <w:widowControl w:val="off"/>
    </w:pPr>
    <w:rPr>
      <w:rFonts w:ascii="Arial" w:hAnsi="Arial" w:eastAsia="Times New Roman;Times New Roman" w:cs="Arial"/>
      <w:color w:val="auto"/>
      <w:sz w:val="20"/>
      <w:szCs w:val="20"/>
      <w:lang w:val="ru-RU" w:eastAsia="zh-CN" w:bidi="ar-SA"/>
    </w:rPr>
  </w:style>
  <w:style w:type="paragraph" w:styleId="709" w:customStyle="1">
    <w:name w:val="ConsPlusTitle"/>
    <w:qFormat/>
    <w:pPr>
      <w:jc w:val="left"/>
      <w:spacing w:before="0" w:after="0"/>
      <w:widowControl w:val="off"/>
    </w:pPr>
    <w:rPr>
      <w:rFonts w:ascii="Calibri;Century Gothic" w:hAnsi="Calibri;Century Gothic" w:eastAsia="Times New Roman;Times New Roman" w:cs="Calibri;Century Gothic"/>
      <w:b/>
      <w:color w:val="auto"/>
      <w:sz w:val="22"/>
      <w:szCs w:val="20"/>
      <w:lang w:val="ru-RU" w:eastAsia="zh-CN" w:bidi="ar-SA"/>
    </w:rPr>
  </w:style>
  <w:style w:type="paragraph" w:styleId="710">
    <w:name w:val="Balloon Text"/>
    <w:basedOn w:val="655"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11">
    <w:name w:val="annotation text"/>
    <w:basedOn w:val="655"/>
    <w:qFormat/>
    <w:pPr>
      <w:spacing w:line="240" w:lineRule="auto"/>
    </w:pPr>
    <w:rPr>
      <w:sz w:val="20"/>
      <w:szCs w:val="20"/>
    </w:rPr>
  </w:style>
  <w:style w:type="paragraph" w:styleId="712">
    <w:name w:val="annotation subject"/>
    <w:basedOn w:val="711"/>
    <w:next w:val="711"/>
    <w:qFormat/>
    <w:rPr>
      <w:b/>
      <w:bCs/>
    </w:rPr>
  </w:style>
  <w:style w:type="numbering" w:styleId="713" w:default="1">
    <w:name w:val="Без списка"/>
    <w:uiPriority w:val="99"/>
    <w:semiHidden/>
    <w:unhideWhenUsed/>
    <w:qFormat/>
  </w:style>
  <w:style w:type="numbering" w:styleId="714" w:customStyle="1">
    <w:name w:val="WW8Num1"/>
    <w:qFormat/>
  </w:style>
  <w:style w:type="numbering" w:styleId="715" w:customStyle="1">
    <w:name w:val="WW8Num2"/>
    <w:qFormat/>
  </w:style>
  <w:style w:type="numbering" w:styleId="716" w:customStyle="1">
    <w:name w:val="WW8Num3"/>
    <w:qFormat/>
  </w:style>
  <w:style w:type="numbering" w:styleId="717" w:customStyle="1">
    <w:name w:val="WW8Num4"/>
    <w:qFormat/>
  </w:style>
  <w:style w:type="numbering" w:styleId="718" w:customStyle="1">
    <w:name w:val="WW8Num5"/>
    <w:qFormat/>
  </w:style>
  <w:style w:type="numbering" w:styleId="719" w:customStyle="1">
    <w:name w:val="WW8Num6"/>
    <w:qFormat/>
  </w:style>
  <w:style w:type="numbering" w:styleId="720" w:customStyle="1">
    <w:name w:val="WW8Num7"/>
    <w:qFormat/>
  </w:style>
  <w:style w:type="numbering" w:styleId="721" w:customStyle="1">
    <w:name w:val="WW8Num8"/>
    <w:qFormat/>
  </w:style>
  <w:style w:type="numbering" w:styleId="722" w:customStyle="1">
    <w:name w:val="WW8Num9"/>
    <w:qFormat/>
  </w:style>
  <w:style w:type="numbering" w:styleId="723" w:customStyle="1">
    <w:name w:val="WW8Num10"/>
    <w:qFormat/>
  </w:style>
  <w:style w:type="numbering" w:styleId="724" w:customStyle="1">
    <w:name w:val="WW8Num11"/>
    <w:qFormat/>
  </w:style>
  <w:style w:type="numbering" w:styleId="725" w:customStyle="1">
    <w:name w:val="WW8Num12"/>
    <w:qFormat/>
  </w:style>
  <w:style w:type="numbering" w:styleId="726" w:customStyle="1">
    <w:name w:val="WW8Num13"/>
    <w:qFormat/>
  </w:style>
  <w:style w:type="numbering" w:styleId="727" w:customStyle="1">
    <w:name w:val="WW8Num14"/>
    <w:qFormat/>
  </w:style>
  <w:style w:type="numbering" w:styleId="728" w:customStyle="1">
    <w:name w:val="WW8Num15"/>
    <w:qFormat/>
  </w:style>
  <w:style w:type="numbering" w:styleId="729" w:customStyle="1">
    <w:name w:val="WW8Num16"/>
    <w:qFormat/>
  </w:style>
  <w:style w:type="numbering" w:styleId="730" w:customStyle="1">
    <w:name w:val="WW8Num17"/>
    <w:qFormat/>
  </w:style>
  <w:style w:type="numbering" w:styleId="731" w:customStyle="1">
    <w:name w:val="WW8Num18"/>
    <w:qFormat/>
  </w:style>
  <w:style w:type="numbering" w:styleId="732" w:customStyle="1">
    <w:name w:val="WW8Num19"/>
    <w:qFormat/>
  </w:style>
  <w:style w:type="numbering" w:styleId="733" w:customStyle="1">
    <w:name w:val="WW8Num20"/>
    <w:qFormat/>
  </w:style>
  <w:style w:type="numbering" w:styleId="734" w:customStyle="1">
    <w:name w:val="WW8Num21"/>
    <w:qFormat/>
  </w:style>
  <w:style w:type="numbering" w:styleId="735" w:customStyle="1">
    <w:name w:val="WW8Num22"/>
    <w:qFormat/>
  </w:style>
  <w:style w:type="numbering" w:styleId="736" w:customStyle="1">
    <w:name w:val="WW8Num23"/>
    <w:qFormat/>
  </w:style>
  <w:style w:type="numbering" w:styleId="737" w:customStyle="1">
    <w:name w:val="WW8Num24"/>
    <w:qFormat/>
  </w:style>
  <w:style w:type="numbering" w:styleId="738" w:customStyle="1">
    <w:name w:val="WW8Num25"/>
    <w:qFormat/>
  </w:style>
  <w:style w:type="table" w:styleId="73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B8D1-1C8F-452B-B8DD-CFA03576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Spiridonovaa</dc:creator>
  <dc:description/>
  <dc:language>ru-RU</dc:language>
  <cp:revision>17</cp:revision>
  <dcterms:created xsi:type="dcterms:W3CDTF">2024-09-26T13:17:00Z</dcterms:created>
  <dcterms:modified xsi:type="dcterms:W3CDTF">2025-06-10T09:34:25Z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